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ind w:left="3600"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Consulta Previa del Decreto de primera modificación del Decreto 23/2015, de 25 de marzo, por el que se aprueba el II Plan de Gestión del Lobo en el Principado de Asturias.</w:t>
      </w:r>
    </w:p>
    <w:p w:rsidR="00000000" w:rsidDel="00000000" w:rsidP="00000000" w:rsidRDefault="00000000" w:rsidRPr="00000000" w14:paraId="00000002">
      <w:pPr>
        <w:spacing w:after="120" w:line="360" w:lineRule="auto"/>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03">
      <w:pPr>
        <w:spacing w:after="120" w:line="360" w:lineRule="auto"/>
        <w:jc w:val="right"/>
        <w:rPr>
          <w:rFonts w:ascii="Helvetica Neue" w:cs="Helvetica Neue" w:eastAsia="Helvetica Neue" w:hAnsi="Helvetica Neue"/>
          <w:b w:val="1"/>
          <w:bCs w:val="1"/>
          <w:color w:val="333333"/>
          <w:sz w:val="28"/>
          <w:szCs w:val="28"/>
        </w:rPr>
      </w:pPr>
      <w:r w:rsidDel="00000000" w:rsidR="00000000" w:rsidRPr="00000000">
        <w:rPr>
          <w:rFonts w:ascii="Helvetica Neue" w:cs="Helvetica Neue" w:eastAsia="Helvetica Neue" w:hAnsi="Helvetica Neue"/>
          <w:b w:val="1"/>
          <w:bCs w:val="1"/>
          <w:sz w:val="28"/>
          <w:szCs w:val="28"/>
          <w:rtl w:val="0"/>
        </w:rPr>
        <w:t xml:space="preserve">A LA DIRECCIÓN GENERAL DE </w:t>
      </w:r>
      <w:r w:rsidDel="00000000" w:rsidR="00000000" w:rsidRPr="00000000">
        <w:rPr>
          <w:rFonts w:ascii="Helvetica Neue" w:cs="Helvetica Neue" w:eastAsia="Helvetica Neue" w:hAnsi="Helvetica Neue"/>
          <w:b w:val="1"/>
          <w:bCs w:val="1"/>
          <w:color w:val="333333"/>
          <w:sz w:val="28"/>
          <w:szCs w:val="28"/>
          <w:rtl w:val="0"/>
        </w:rPr>
        <w:t xml:space="preserve">PLANIFICACIÓN RURAL SERVICIO DE VIDA SILVESTRE</w:t>
      </w:r>
    </w:p>
    <w:p w:rsidR="00000000" w:rsidDel="00000000" w:rsidP="00000000" w:rsidRDefault="00000000" w:rsidRPr="00000000" w14:paraId="00000004">
      <w:pPr>
        <w:spacing w:after="120" w:line="360" w:lineRule="auto"/>
        <w:jc w:val="right"/>
        <w:rPr>
          <w:rFonts w:ascii="Helvetica Neue" w:cs="Helvetica Neue" w:eastAsia="Helvetica Neue" w:hAnsi="Helvetica Neue"/>
          <w:color w:val="333333"/>
          <w:sz w:val="24"/>
          <w:szCs w:val="24"/>
        </w:rPr>
      </w:pPr>
      <w:r w:rsidDel="00000000" w:rsidR="00000000" w:rsidRPr="00000000">
        <w:rPr>
          <w:rFonts w:ascii="Helvetica Neue" w:cs="Helvetica Neue" w:eastAsia="Helvetica Neue" w:hAnsi="Helvetica Neue"/>
          <w:sz w:val="24"/>
          <w:szCs w:val="24"/>
          <w:rtl w:val="0"/>
        </w:rPr>
        <w:t xml:space="preserve">CONSEJERÍA DE MEDIO RURAL Y POLÍTICA AGRARIA</w:t>
      </w:r>
      <w:r w:rsidDel="00000000" w:rsidR="00000000" w:rsidRPr="00000000">
        <w:rPr>
          <w:rtl w:val="0"/>
        </w:rPr>
      </w:r>
    </w:p>
    <w:p w:rsidR="00000000" w:rsidDel="00000000" w:rsidP="00000000" w:rsidRDefault="00000000" w:rsidRPr="00000000" w14:paraId="00000005">
      <w:pPr>
        <w:spacing w:after="120" w:line="36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ee0000"/>
          <w:sz w:val="24"/>
          <w:szCs w:val="24"/>
          <w:rtl w:val="0"/>
        </w:rPr>
        <w:t xml:space="preserve">(rellenar con nombre y apellidos completos)</w:t>
      </w:r>
      <w:r w:rsidDel="00000000" w:rsidR="00000000" w:rsidRPr="00000000">
        <w:rPr>
          <w:rFonts w:ascii="Helvetica Neue" w:cs="Helvetica Neue" w:eastAsia="Helvetica Neue" w:hAnsi="Helvetica Neue"/>
          <w:sz w:val="24"/>
          <w:szCs w:val="24"/>
          <w:rtl w:val="0"/>
        </w:rPr>
        <w:t xml:space="preserve">, con D.N.I. (</w:t>
      </w:r>
      <w:r w:rsidDel="00000000" w:rsidR="00000000" w:rsidRPr="00000000">
        <w:rPr>
          <w:rFonts w:ascii="Helvetica Neue" w:cs="Helvetica Neue" w:eastAsia="Helvetica Neue" w:hAnsi="Helvetica Neue"/>
          <w:color w:val="ee0000"/>
          <w:sz w:val="24"/>
          <w:szCs w:val="24"/>
          <w:rtl w:val="0"/>
        </w:rPr>
        <w:t xml:space="preserve">número con letra)</w:t>
      </w:r>
      <w:r w:rsidDel="00000000" w:rsidR="00000000" w:rsidRPr="00000000">
        <w:rPr>
          <w:rFonts w:ascii="Helvetica Neue" w:cs="Helvetica Neue" w:eastAsia="Helvetica Neue" w:hAnsi="Helvetica Neue"/>
          <w:sz w:val="24"/>
          <w:szCs w:val="24"/>
          <w:rtl w:val="0"/>
        </w:rPr>
        <w:t xml:space="preserve">, mayor de edad, con domicilio en </w:t>
      </w:r>
      <w:r w:rsidDel="00000000" w:rsidR="00000000" w:rsidRPr="00000000">
        <w:rPr>
          <w:rFonts w:ascii="Helvetica Neue" w:cs="Helvetica Neue" w:eastAsia="Helvetica Neue" w:hAnsi="Helvetica Neue"/>
          <w:color w:val="ee0000"/>
          <w:sz w:val="24"/>
          <w:szCs w:val="24"/>
          <w:rtl w:val="0"/>
        </w:rPr>
        <w:t xml:space="preserve">(calle, número, código postal y localidad)</w:t>
      </w:r>
      <w:r w:rsidDel="00000000" w:rsidR="00000000" w:rsidRPr="00000000">
        <w:rPr>
          <w:rFonts w:ascii="Helvetica Neue" w:cs="Helvetica Neue" w:eastAsia="Helvetica Neue" w:hAnsi="Helvetica Neue"/>
          <w:sz w:val="24"/>
          <w:szCs w:val="24"/>
          <w:rtl w:val="0"/>
        </w:rPr>
        <w:t xml:space="preserve"> y con correo electrónico a efecto de notificaciones </w:t>
      </w:r>
      <w:r w:rsidDel="00000000" w:rsidR="00000000" w:rsidRPr="00000000">
        <w:rPr>
          <w:rFonts w:ascii="Helvetica Neue" w:cs="Helvetica Neue" w:eastAsia="Helvetica Neue" w:hAnsi="Helvetica Neue"/>
          <w:color w:val="ee0000"/>
          <w:sz w:val="24"/>
          <w:szCs w:val="24"/>
          <w:rtl w:val="0"/>
        </w:rPr>
        <w:t xml:space="preserve">(rellenar en este espacio con correo electrónico de quien presenta el escrito)</w:t>
      </w:r>
      <w:r w:rsidDel="00000000" w:rsidR="00000000" w:rsidRPr="00000000">
        <w:rPr>
          <w:rFonts w:ascii="Helvetica Neue" w:cs="Helvetica Neue" w:eastAsia="Helvetica Neue" w:hAnsi="Helvetica Neue"/>
          <w:sz w:val="24"/>
          <w:szCs w:val="24"/>
          <w:rtl w:val="0"/>
        </w:rPr>
        <w:t xml:space="preserve">, comparezco y, como mejor proceda,</w:t>
      </w:r>
    </w:p>
    <w:p w:rsidR="00000000" w:rsidDel="00000000" w:rsidP="00000000" w:rsidRDefault="00000000" w:rsidRPr="00000000" w14:paraId="00000007">
      <w:pPr>
        <w:spacing w:after="120"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8">
      <w:pPr>
        <w:spacing w:after="120" w:line="360" w:lineRule="auto"/>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DIGO</w:t>
      </w:r>
    </w:p>
    <w:p w:rsidR="00000000" w:rsidDel="00000000" w:rsidP="00000000" w:rsidRDefault="00000000" w:rsidRPr="00000000" w14:paraId="00000009">
      <w:pPr>
        <w:spacing w:after="120" w:line="36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A">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Primero.-</w:t>
      </w:r>
      <w:r w:rsidDel="00000000" w:rsidR="00000000" w:rsidRPr="00000000">
        <w:rPr>
          <w:rFonts w:ascii="Helvetica Neue" w:cs="Helvetica Neue" w:eastAsia="Helvetica Neue" w:hAnsi="Helvetica Neue"/>
          <w:sz w:val="24"/>
          <w:szCs w:val="24"/>
          <w:rtl w:val="0"/>
        </w:rPr>
        <w:t xml:space="preserve"> Que, dentro del plazo legalmente establecido, comparece y formula ALEGACIONES en el trámite de consulta pública previa a la aprobación del Plan de Gestión del Lobo en el Principado de Asturias, mostrando su más rotunda oposición a la incorporación de controles letales como medida de gestión de la especie.</w:t>
      </w:r>
    </w:p>
    <w:p w:rsidR="00000000" w:rsidDel="00000000" w:rsidP="00000000" w:rsidRDefault="00000000" w:rsidRPr="00000000" w14:paraId="0000000B">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C">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Segundo.- </w:t>
      </w:r>
      <w:r w:rsidDel="00000000" w:rsidR="00000000" w:rsidRPr="00000000">
        <w:rPr>
          <w:rFonts w:ascii="Helvetica Neue" w:cs="Helvetica Neue" w:eastAsia="Helvetica Neue" w:hAnsi="Helvetica Neue"/>
          <w:sz w:val="24"/>
          <w:szCs w:val="24"/>
          <w:rtl w:val="0"/>
        </w:rPr>
        <w:t xml:space="preserve">Que las presentes alegaciones se fundamentan en la normativa europea de aplicación, en la jurisprudencia del Tribunal de Justicia de la Unión Europea (TJUE) y en la mejor información científica disponible sobre el estado de conservación del lobo (</w:t>
      </w:r>
      <w:r w:rsidDel="00000000" w:rsidR="00000000" w:rsidRPr="00000000">
        <w:rPr>
          <w:rFonts w:ascii="Helvetica Neue" w:cs="Helvetica Neue" w:eastAsia="Helvetica Neue" w:hAnsi="Helvetica Neue"/>
          <w:i w:val="1"/>
          <w:iCs w:val="1"/>
          <w:sz w:val="24"/>
          <w:szCs w:val="24"/>
          <w:rtl w:val="0"/>
        </w:rPr>
        <w:t xml:space="preserve">Canis lupus</w:t>
      </w:r>
      <w:r w:rsidDel="00000000" w:rsidR="00000000" w:rsidRPr="00000000">
        <w:rPr>
          <w:rFonts w:ascii="Helvetica Neue" w:cs="Helvetica Neue" w:eastAsia="Helvetica Neue" w:hAnsi="Helvetica Neue"/>
          <w:sz w:val="24"/>
          <w:szCs w:val="24"/>
          <w:rtl w:val="0"/>
        </w:rPr>
        <w:t xml:space="preserve">) en España.</w:t>
      </w:r>
    </w:p>
    <w:p w:rsidR="00000000" w:rsidDel="00000000" w:rsidP="00000000" w:rsidRDefault="00000000" w:rsidRPr="00000000" w14:paraId="0000000D">
      <w:pPr>
        <w:spacing w:after="120" w:line="360" w:lineRule="auto"/>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bCs w:val="1"/>
          <w:sz w:val="28"/>
          <w:szCs w:val="28"/>
          <w:rtl w:val="0"/>
        </w:rPr>
        <w:t xml:space="preserve">ALEGACIONES</w:t>
      </w:r>
    </w:p>
    <w:p w:rsidR="00000000" w:rsidDel="00000000" w:rsidP="00000000" w:rsidRDefault="00000000" w:rsidRPr="00000000" w14:paraId="0000000E">
      <w:pPr>
        <w:spacing w:after="120"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after="120" w:line="360" w:lineRule="auto"/>
        <w:jc w:val="both"/>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b w:val="1"/>
          <w:bCs w:val="1"/>
          <w:sz w:val="24"/>
          <w:szCs w:val="24"/>
          <w:rtl w:val="0"/>
        </w:rPr>
        <w:t xml:space="preserve">PRIMERA.- </w:t>
      </w:r>
      <w:r w:rsidDel="00000000" w:rsidR="00000000" w:rsidRPr="00000000">
        <w:rPr>
          <w:rFonts w:ascii="Helvetica Neue" w:cs="Helvetica Neue" w:eastAsia="Helvetica Neue" w:hAnsi="Helvetica Neue"/>
          <w:i w:val="1"/>
          <w:iCs w:val="1"/>
          <w:sz w:val="24"/>
          <w:szCs w:val="24"/>
          <w:rtl w:val="0"/>
        </w:rPr>
        <w:t xml:space="preserve">La Ley 1/2025 no altera la obligación de garantizar un estado de conservación favorable conforme a la Directiva Hábitats.</w:t>
      </w:r>
    </w:p>
    <w:p w:rsidR="00000000" w:rsidDel="00000000" w:rsidP="00000000" w:rsidRDefault="00000000" w:rsidRPr="00000000" w14:paraId="00000010">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 cierto que la reciente Ley 1/2025 ha excluido a la población de lobo al norte del Duero del Listado de Especies en Régimen de Protección Especial (LESRPE). Sin embargo, esta modificación normativa interna no exime al Principado de Asturias de cumplir con las obligaciones impuestas por el Derecho de la Unión Europea. La especie sigue estando incluida en el Anexo V de la Directiva 92/43/CEE (Directiva Hábitats) como especie de interés comunitario sujeta a medidas de gestión.</w:t>
      </w:r>
    </w:p>
    <w:p w:rsidR="00000000" w:rsidDel="00000000" w:rsidP="00000000" w:rsidRDefault="00000000" w:rsidRPr="00000000" w14:paraId="00000011">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El artículo 14 de la Directiva Hábitats es claro al establecer que cualquier explotación o recolección de especímenes de las especies del Anexo V debe ser compatible con el mantenimiento de las mismas en un estado de conservación favorable. La gestión, por tanto, no es un fin en sí mismo, sino un medio para alcanzar dicho estado favorable, y cualquier medida de control (incluida la letal) debe estar subordinada a este objetivo prioritario.</w:t>
      </w:r>
    </w:p>
    <w:p w:rsidR="00000000" w:rsidDel="00000000" w:rsidP="00000000" w:rsidRDefault="00000000" w:rsidRPr="00000000" w14:paraId="00000012">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spacing w:after="120" w:line="360" w:lineRule="auto"/>
        <w:jc w:val="both"/>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b w:val="1"/>
          <w:bCs w:val="1"/>
          <w:sz w:val="24"/>
          <w:szCs w:val="24"/>
          <w:rtl w:val="0"/>
        </w:rPr>
        <w:t xml:space="preserve">SEGUNDA.-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1"/>
          <w:iCs w:val="1"/>
          <w:sz w:val="24"/>
          <w:szCs w:val="24"/>
          <w:rtl w:val="0"/>
        </w:rPr>
        <w:t xml:space="preserve">El estado de conservación del lobo en España es "desfavorable-inadecuado", lo que impide cualquier forma de explotación letal.</w:t>
      </w:r>
    </w:p>
    <w:p w:rsidR="00000000" w:rsidDel="00000000" w:rsidP="00000000" w:rsidRDefault="00000000" w:rsidRPr="00000000" w14:paraId="00000014">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mejor información científica disponible acredita que el lobo en España no se encuentra en un estado de conservación favorable, circunstancia que impide activar las medidas de explotación o gestión del artículo 14 de la directiva Hábitats.</w:t>
      </w:r>
    </w:p>
    <w:p w:rsidR="00000000" w:rsidDel="00000000" w:rsidP="00000000" w:rsidRDefault="00000000" w:rsidRPr="00000000" w14:paraId="00000015">
      <w:pPr>
        <w:spacing w:after="120" w:line="360" w:lineRule="auto"/>
        <w:ind w:left="72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1. </w:t>
      </w:r>
      <w:r w:rsidDel="00000000" w:rsidR="00000000" w:rsidRPr="00000000">
        <w:rPr>
          <w:rFonts w:ascii="Helvetica Neue" w:cs="Helvetica Neue" w:eastAsia="Helvetica Neue" w:hAnsi="Helvetica Neue"/>
          <w:sz w:val="24"/>
          <w:szCs w:val="24"/>
          <w:rtl w:val="0"/>
        </w:rPr>
        <w:t xml:space="preserve"> Informe Sexenal 2013-2018 (Artículo 17): El informe remitido por España a la Comisión Europea para el periodo 2013-2018, concluyó que el lobo se encontraba en un estado de conservación "desfavorable-inadecuado" en las tres regiones biogeográficas donde está presente: atlántica, alpina y mediterránea. Esta evaluación, oficial y vinculante a efectos de informe, abarca el territorio asturiano.</w:t>
      </w:r>
    </w:p>
    <w:p w:rsidR="00000000" w:rsidDel="00000000" w:rsidP="00000000" w:rsidRDefault="00000000" w:rsidRPr="00000000" w14:paraId="00000016">
      <w:pPr>
        <w:spacing w:after="120" w:line="360" w:lineRule="auto"/>
        <w:ind w:left="72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2.  </w:t>
      </w:r>
      <w:r w:rsidDel="00000000" w:rsidR="00000000" w:rsidRPr="00000000">
        <w:rPr>
          <w:rFonts w:ascii="Helvetica Neue" w:cs="Helvetica Neue" w:eastAsia="Helvetica Neue" w:hAnsi="Helvetica Neue"/>
          <w:sz w:val="24"/>
          <w:szCs w:val="24"/>
          <w:rtl w:val="0"/>
        </w:rPr>
        <w:t xml:space="preserve">Censo Nacional de Lobo 2024: El reciente censo nacional coordinado por el MITECO para el periodo 2021-2024, lejos de rebatir esa conclusión, la refuerza. El censo arroja un total de 333 manadas en toda España. Esta cifra está muy por debajo de las 500 manadas que los científicos consideran necesarias para asegurar la viabilidad genética de la especie a largo plazo. El crecimiento poblacional es moderado (12% en diez años) y se concentra en los bordes del área de distribución, no en el núcleo poblacional del noroeste, donde la situación es de estabilización, no de expansión que justifique controles letales generalizados.</w:t>
      </w:r>
    </w:p>
    <w:p w:rsidR="00000000" w:rsidDel="00000000" w:rsidP="00000000" w:rsidRDefault="00000000" w:rsidRPr="00000000" w14:paraId="00000017">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Por tanto, la premisa necesaria para aplicar el artículo 14 DH (estado de conservación favorable) no se cumple, y cualquier plan de control letal basado en la nueva Ley 1/2025 ignora la realidad biológica de la especie.</w:t>
      </w:r>
    </w:p>
    <w:p w:rsidR="00000000" w:rsidDel="00000000" w:rsidP="00000000" w:rsidRDefault="00000000" w:rsidRPr="00000000" w14:paraId="00000018">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spacing w:after="120" w:line="360" w:lineRule="auto"/>
        <w:jc w:val="both"/>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b w:val="1"/>
          <w:bCs w:val="1"/>
          <w:sz w:val="24"/>
          <w:szCs w:val="24"/>
          <w:rtl w:val="0"/>
        </w:rPr>
        <w:t xml:space="preserve">TERCERA.-</w:t>
      </w:r>
      <w:r w:rsidDel="00000000" w:rsidR="00000000" w:rsidRPr="00000000">
        <w:rPr>
          <w:rFonts w:ascii="Helvetica Neue" w:cs="Helvetica Neue" w:eastAsia="Helvetica Neue" w:hAnsi="Helvetica Neue"/>
          <w:b w:val="1"/>
          <w:bCs w:val="1"/>
          <w:i w:val="1"/>
          <w:iCs w:val="1"/>
          <w:sz w:val="24"/>
          <w:szCs w:val="24"/>
          <w:rtl w:val="0"/>
        </w:rPr>
        <w:t xml:space="preserve"> </w:t>
      </w:r>
      <w:r w:rsidDel="00000000" w:rsidR="00000000" w:rsidRPr="00000000">
        <w:rPr>
          <w:rFonts w:ascii="Helvetica Neue" w:cs="Helvetica Neue" w:eastAsia="Helvetica Neue" w:hAnsi="Helvetica Neue"/>
          <w:i w:val="1"/>
          <w:iCs w:val="1"/>
          <w:sz w:val="24"/>
          <w:szCs w:val="24"/>
          <w:rtl w:val="0"/>
        </w:rPr>
        <w:t xml:space="preserve">La jurisprudencia del TJUE es concluyente: el artículo 14 de la Directiva Hábitats impide la caza o el control letal cuando el estado de conservación es desfavorable.</w:t>
      </w:r>
    </w:p>
    <w:p w:rsidR="00000000" w:rsidDel="00000000" w:rsidP="00000000" w:rsidRDefault="00000000" w:rsidRPr="00000000" w14:paraId="0000001A">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circunstancia de que el II Plan de Gestión del Lobo en Asturias cuya reviviscencia se pretende no prevea la caza de lobos, sino su "gestión" mediante agentes medioambientales (y la eventual participación de cazadores bajo su control) resulta jurídicamente irrelevante a la luz de la jurisprudencia.</w:t>
      </w:r>
    </w:p>
    <w:p w:rsidR="00000000" w:rsidDel="00000000" w:rsidP="00000000" w:rsidRDefault="00000000" w:rsidRPr="00000000" w14:paraId="0000001B">
      <w:pPr>
        <w:spacing w:after="120" w:line="360" w:lineRule="auto"/>
        <w:ind w:left="72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1. </w:t>
      </w:r>
      <w:r w:rsidDel="00000000" w:rsidR="00000000" w:rsidRPr="00000000">
        <w:rPr>
          <w:rFonts w:ascii="Helvetica Neue" w:cs="Helvetica Neue" w:eastAsia="Helvetica Neue" w:hAnsi="Helvetica Neue"/>
          <w:sz w:val="24"/>
          <w:szCs w:val="24"/>
          <w:rtl w:val="0"/>
        </w:rPr>
        <w:t xml:space="preserve"> Sentencia del TJUE de 29 de julio de 2024 (Asunto C-436/22): Esta sentencia estableció de forma diáfana que el artículo 14 de la Directiva se opone a permitir la caza o el control letal del lobo cuando su estado de conservación a nivel nacional es "desfavorable-inadecuado". El Tribunal subrayó que las medidas de gestión deben tener por objeto restringir la explotación, no ampliarla, y que ante la incertidumbre debe aplicarse el principio de cautela. La sentencia exige que las evaluaciones se basen en los informes sexenales y en los datos científicos más recientes, que en este caso desaconsejan la medida.</w:t>
      </w:r>
    </w:p>
    <w:p w:rsidR="00000000" w:rsidDel="00000000" w:rsidP="00000000" w:rsidRDefault="00000000" w:rsidRPr="00000000" w14:paraId="0000001C">
      <w:pPr>
        <w:spacing w:after="120" w:line="360" w:lineRule="auto"/>
        <w:ind w:left="72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2.  </w:t>
      </w:r>
      <w:r w:rsidDel="00000000" w:rsidR="00000000" w:rsidRPr="00000000">
        <w:rPr>
          <w:rFonts w:ascii="Helvetica Neue" w:cs="Helvetica Neue" w:eastAsia="Helvetica Neue" w:hAnsi="Helvetica Neue"/>
          <w:sz w:val="24"/>
          <w:szCs w:val="24"/>
          <w:rtl w:val="0"/>
        </w:rPr>
        <w:t xml:space="preserve">Sentencia del TJUE de 12 de junio de 2025 (Asunto C-629/23): Esta reciente sentencia, que ratifica y precisa la doctrina anterior, introduce un matiz crucial para este trámite: el estado de conservación debe evaluarse necesariamente a nivel local y nacional, y no puede quedar encubierto por valoraciones meramente locales o autonómicas.</w:t>
      </w:r>
    </w:p>
    <w:p w:rsidR="00000000" w:rsidDel="00000000" w:rsidP="00000000" w:rsidRDefault="00000000" w:rsidRPr="00000000" w14:paraId="0000001D">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Esta jurisprudencia desmonta cualquier intento de justificar los controles letales en Asturias basándose en una supuesta "sobrepoblación" local o en la estabilidad de la población cantábrica. El TJUE obliga a una visión de conjunto (nacional y biogeográfica) que, como se ha expuesto, es desfavorable. </w:t>
      </w:r>
    </w:p>
    <w:p w:rsidR="00000000" w:rsidDel="00000000" w:rsidP="00000000" w:rsidRDefault="00000000" w:rsidRPr="00000000" w14:paraId="0000001E">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Así, la creación de un marco para la adopción de controles letales de lobo supone una infracción clara y manifiesta del artículo 14 de la Directiva Hábitats y de la interpretación vinculante que de él ha hecho el TJUE.</w:t>
      </w:r>
    </w:p>
    <w:p w:rsidR="00000000" w:rsidDel="00000000" w:rsidP="00000000" w:rsidRDefault="00000000" w:rsidRPr="00000000" w14:paraId="0000001F">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spacing w:after="120" w:line="360" w:lineRule="auto"/>
        <w:jc w:val="both"/>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b w:val="1"/>
          <w:bCs w:val="1"/>
          <w:sz w:val="24"/>
          <w:szCs w:val="24"/>
          <w:rtl w:val="0"/>
        </w:rPr>
        <w:t xml:space="preserve">CUARTA.- </w:t>
      </w:r>
      <w:r w:rsidDel="00000000" w:rsidR="00000000" w:rsidRPr="00000000">
        <w:rPr>
          <w:rFonts w:ascii="Helvetica Neue" w:cs="Helvetica Neue" w:eastAsia="Helvetica Neue" w:hAnsi="Helvetica Neue"/>
          <w:i w:val="1"/>
          <w:iCs w:val="1"/>
          <w:sz w:val="24"/>
          <w:szCs w:val="24"/>
          <w:rtl w:val="0"/>
        </w:rPr>
        <w:t xml:space="preserve">Solicitud de aplicación del principio de cautela y exclusión de controles letales.</w:t>
      </w:r>
    </w:p>
    <w:p w:rsidR="00000000" w:rsidDel="00000000" w:rsidP="00000000" w:rsidRDefault="00000000" w:rsidRPr="00000000" w14:paraId="00000021">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 virtud del principio de cautela, consagrado en el artículo 191 TFUE y recogido por la jurisprudencia del TJUE, cuando existe incertidumbre científica o cuando el estado de conservación es desfavorable, la decisión administrativa debe inclinarse por la protección de la especie. La carga de la prueba recae sobre quien pretende justificar la explotación, demostrando que no perjudicará la consecución de un estado favorable, algo que no ha ocurrido ni puede ocurrir con la información científica actual.</w:t>
      </w:r>
    </w:p>
    <w:p w:rsidR="00000000" w:rsidDel="00000000" w:rsidP="00000000" w:rsidRDefault="00000000" w:rsidRPr="00000000" w14:paraId="00000022">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spacing w:after="120" w:line="36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Por todo ello,</w:t>
      </w:r>
    </w:p>
    <w:p w:rsidR="00000000" w:rsidDel="00000000" w:rsidP="00000000" w:rsidRDefault="00000000" w:rsidRPr="00000000" w14:paraId="00000025">
      <w:pPr>
        <w:spacing w:after="120" w:line="36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SOLICITA</w:t>
      </w:r>
      <w:r w:rsidDel="00000000" w:rsidR="00000000" w:rsidRPr="00000000">
        <w:rPr>
          <w:rFonts w:ascii="Helvetica Neue" w:cs="Helvetica Neue" w:eastAsia="Helvetica Neue" w:hAnsi="Helvetica Neue"/>
          <w:sz w:val="24"/>
          <w:szCs w:val="24"/>
          <w:rtl w:val="0"/>
        </w:rPr>
        <w:t xml:space="preserve"> que se tenga por presentado este escrito en el trámite de consulta previa y, en virtud de los argumentos expuestos, se acuerde la exclusión de cualquier forma de control letal o aprovechamiento cinegético del lobo del futuro Plan de Gestión del Lobo del Principado de Asturias, garantizando así la plena conformidad del mismo con la Directiva 92/43/CEE y la jurisprudencia del Tribunal de Justicia de la Unión Europea.</w:t>
      </w:r>
    </w:p>
    <w:p w:rsidR="00000000" w:rsidDel="00000000" w:rsidP="00000000" w:rsidRDefault="00000000" w:rsidRPr="00000000" w14:paraId="00000026">
      <w:pPr>
        <w:spacing w:after="120" w:line="360" w:lineRule="auto"/>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 </w:t>
      </w:r>
      <w:r w:rsidDel="00000000" w:rsidR="00000000" w:rsidRPr="00000000">
        <w:rPr>
          <w:rFonts w:ascii="Helvetica Neue" w:cs="Helvetica Neue" w:eastAsia="Helvetica Neue" w:hAnsi="Helvetica Neue"/>
          <w:color w:val="ee0000"/>
          <w:sz w:val="24"/>
          <w:szCs w:val="24"/>
          <w:rtl w:val="0"/>
        </w:rPr>
        <w:t xml:space="preserve">[Lugar]</w:t>
      </w:r>
      <w:r w:rsidDel="00000000" w:rsidR="00000000" w:rsidRPr="00000000">
        <w:rPr>
          <w:rFonts w:ascii="Helvetica Neue" w:cs="Helvetica Neue" w:eastAsia="Helvetica Neue" w:hAnsi="Helvetica Neue"/>
          <w:sz w:val="24"/>
          <w:szCs w:val="24"/>
          <w:rtl w:val="0"/>
        </w:rPr>
        <w:t xml:space="preserve">, a </w:t>
      </w:r>
      <w:r w:rsidDel="00000000" w:rsidR="00000000" w:rsidRPr="00000000">
        <w:rPr>
          <w:rFonts w:ascii="Helvetica Neue" w:cs="Helvetica Neue" w:eastAsia="Helvetica Neue" w:hAnsi="Helvetica Neue"/>
          <w:color w:val="ee0000"/>
          <w:sz w:val="24"/>
          <w:szCs w:val="24"/>
          <w:rtl w:val="0"/>
        </w:rPr>
        <w:t xml:space="preserve">[fecha]</w:t>
      </w:r>
      <w:r w:rsidDel="00000000" w:rsidR="00000000" w:rsidRPr="00000000">
        <w:rPr>
          <w:rFonts w:ascii="Helvetica Neue" w:cs="Helvetica Neue" w:eastAsia="Helvetica Neue" w:hAnsi="Helvetica Neue"/>
          <w:sz w:val="24"/>
          <w:szCs w:val="24"/>
          <w:rtl w:val="0"/>
        </w:rPr>
        <w:t xml:space="preserve"> de marzo de 2026</w:t>
      </w:r>
    </w:p>
    <w:p w:rsidR="00000000" w:rsidDel="00000000" w:rsidP="00000000" w:rsidRDefault="00000000" w:rsidRPr="00000000" w14:paraId="00000027">
      <w:pPr>
        <w:spacing w:after="120"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